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jc w:val="both"/>
        <w:rPr>
          <w:rFonts w:ascii="仿宋" w:hAnsi="仿宋" w:eastAsia="仿宋"/>
          <w:kern w:val="0"/>
          <w:sz w:val="32"/>
          <w:szCs w:val="32"/>
        </w:rPr>
      </w:pPr>
    </w:p>
    <w:p>
      <w:pPr>
        <w:pStyle w:val="11"/>
        <w:spacing w:line="600" w:lineRule="exact"/>
        <w:rPr>
          <w:rFonts w:ascii="仿宋" w:hAnsi="仿宋" w:eastAsia="仿宋" w:cs="Arial"/>
          <w:sz w:val="32"/>
          <w:szCs w:val="32"/>
        </w:rPr>
      </w:pPr>
    </w:p>
    <w:p>
      <w:pPr>
        <w:pStyle w:val="11"/>
        <w:spacing w:line="60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黄山市2019年建筑节能和绿色建筑</w:t>
      </w:r>
    </w:p>
    <w:p>
      <w:pPr>
        <w:pStyle w:val="11"/>
        <w:spacing w:line="60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发展目标任务及工作要点</w:t>
      </w:r>
    </w:p>
    <w:p>
      <w:pPr>
        <w:pStyle w:val="11"/>
        <w:spacing w:line="52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住房和城乡建设厅“关于印发《2019年全省建筑节能与科技工作要点》的通知”和省散装水泥办公室《关于印发2019年全省发展散装水泥工作计划及要点的通知》精神，落实新时期建筑方针和新发展理念，深入贯彻落实全省住房城乡建设工作会议精神，切实执行新建建筑节能，全面推进绿色建筑，稳步发展装配式建筑，推动建筑能效提升，推进建设科技创新，继续做好“禁现”和既有建筑节能改造，加大散装水泥、预拌混凝土（砂浆）、新型墙材及绿色建材推广应用力度，确保各项目标任务的完成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一、工作目标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（一）严格执行建筑节能标准。</w:t>
      </w:r>
      <w:r>
        <w:rPr>
          <w:rFonts w:hint="eastAsia" w:ascii="仿宋" w:hAnsi="仿宋" w:eastAsia="仿宋"/>
          <w:sz w:val="32"/>
          <w:szCs w:val="32"/>
        </w:rPr>
        <w:t>新建建筑严格执行建筑节能设计标准，建筑节能标准执行率达100%。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（二）全面执行绿色建筑标准。</w:t>
      </w:r>
      <w:r>
        <w:rPr>
          <w:rFonts w:hint="eastAsia" w:ascii="仿宋" w:hAnsi="仿宋" w:eastAsia="仿宋"/>
          <w:sz w:val="32"/>
          <w:szCs w:val="32"/>
        </w:rPr>
        <w:t>绿色建筑占新建民用建筑开工面积比例达到</w:t>
      </w:r>
      <w:r>
        <w:rPr>
          <w:rFonts w:ascii="仿宋" w:hAnsi="仿宋" w:eastAsia="仿宋"/>
          <w:sz w:val="32"/>
          <w:szCs w:val="32"/>
        </w:rPr>
        <w:t xml:space="preserve">100% </w:t>
      </w:r>
      <w:r>
        <w:rPr>
          <w:rFonts w:hint="eastAsia" w:ascii="仿宋" w:hAnsi="仿宋" w:eastAsia="仿宋"/>
          <w:sz w:val="32"/>
          <w:szCs w:val="32"/>
        </w:rPr>
        <w:t>、竣工面积比例达到5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以上。二星级及以上绿色建筑占比20%以上。创建省级绿色建筑示范项目不少于1个。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（三）发展装配式建筑。</w:t>
      </w:r>
      <w:r>
        <w:rPr>
          <w:rFonts w:hint="eastAsia" w:ascii="仿宋" w:hAnsi="仿宋" w:eastAsia="仿宋"/>
          <w:sz w:val="32"/>
          <w:szCs w:val="32"/>
        </w:rPr>
        <w:t>装配式建筑占新建建筑竣工面积比例达到7%以上，不少于18万平方米。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（四）促进可再生能源建筑规模应用。</w:t>
      </w:r>
      <w:r>
        <w:rPr>
          <w:rFonts w:hint="eastAsia" w:ascii="仿宋" w:hAnsi="仿宋" w:eastAsia="仿宋"/>
          <w:bCs/>
          <w:sz w:val="32"/>
          <w:szCs w:val="32"/>
        </w:rPr>
        <w:t>全市竣工</w:t>
      </w:r>
      <w:r>
        <w:rPr>
          <w:rFonts w:hint="eastAsia" w:ascii="仿宋" w:hAnsi="仿宋" w:eastAsia="仿宋"/>
          <w:sz w:val="32"/>
          <w:szCs w:val="32"/>
        </w:rPr>
        <w:t>可再生能源建筑应用面积不低于60万平方米。力争可再生能源建筑应用面积达到竣工建筑面积的60%以上。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（五）推进既有建筑节能改造。</w:t>
      </w:r>
      <w:r>
        <w:rPr>
          <w:rFonts w:hint="eastAsia" w:ascii="仿宋" w:hAnsi="仿宋" w:eastAsia="仿宋"/>
          <w:sz w:val="32"/>
          <w:szCs w:val="32"/>
        </w:rPr>
        <w:t>各区县至少完成1个既有建筑改造项目，全市完成既有居住建筑改造面积不少于1万平方米、既有公共建筑节能改造面积不少于4万平方米。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（六）推进新建公共建筑能耗监测数据上传。</w:t>
      </w:r>
      <w:r>
        <w:rPr>
          <w:rFonts w:hint="eastAsia" w:ascii="仿宋" w:hAnsi="仿宋" w:eastAsia="仿宋"/>
          <w:sz w:val="32"/>
          <w:szCs w:val="32"/>
        </w:rPr>
        <w:t>新建1万平方米以上公共建筑（3000平方米以上机关办公建筑）全部接入市级能耗平台，新增20个项目接入省级能耗平台。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（七）开展“推散”、“禁现”工作，推广应用新型墙材和绿色建材。</w:t>
      </w:r>
      <w:r>
        <w:rPr>
          <w:rFonts w:hint="eastAsia" w:ascii="仿宋" w:hAnsi="仿宋" w:eastAsia="仿宋"/>
          <w:sz w:val="32"/>
          <w:szCs w:val="32"/>
        </w:rPr>
        <w:t>在建工程新型墙体材料应用率100%。水泥散装率65%，散装水泥供应量110万吨以上（含海螺水泥厂），散装水泥使用量110万吨以上，商品混凝土生产量240万立方米以上，预拌砂浆生产量10万立方米以上。各区县取得绿色建材星级标识不少于1个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二、工作要点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（一）严格建筑节能监管，提升新建建筑能效。</w:t>
      </w:r>
      <w:r>
        <w:rPr>
          <w:rFonts w:hint="eastAsia" w:ascii="仿宋" w:hAnsi="仿宋" w:eastAsia="仿宋"/>
          <w:sz w:val="32"/>
          <w:szCs w:val="32"/>
        </w:rPr>
        <w:t>严格落实新建建筑节能要求，在建设工程建筑节能监督过程中，紧抓建筑节能设计审查、设计变更审查、节能材料进场检测、施工质量控制、节能分部工程验收等关键环节的监督，切实加强保温工程和节能门窗施工质量监管，强化日常检查、行政处罚和不良行为公示，组织开展1-2次建筑节能专项检查，确保建筑节能标准执行到位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（二）推进绿色建筑量质齐升，建设绿色生态示范城市。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新建建筑全面执行国家、省、市绿色建筑相关标准和政策，在建筑设计、施工图审查、竣工验收等环节落实绿色建筑标准，确保新建民用建筑全面按绿色建筑标准设计、施工、验收到位。强化对绿色建筑设计、施工过程的监督，明确绿色建筑验收要求，未通过绿色建筑验收或验收不合格的不予竣工验收备案。全年组织开展绿色建筑专项检查不少于1次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推进省级绿色生态城市示范建设，采取切实有效措施解决示范建设中存在的问题和困难，以示范建设为抓手，编制绿色生态城市专项规划，</w:t>
      </w:r>
      <w:r>
        <w:rPr>
          <w:rFonts w:hint="eastAsia" w:ascii="仿宋" w:hAnsi="仿宋" w:eastAsia="仿宋"/>
          <w:sz w:val="32"/>
          <w:szCs w:val="32"/>
        </w:rPr>
        <w:t>开展既有建筑节能改造、BIM应用、被动式低能耗建筑、三星级绿色建筑试点。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（三）稳步发展装配式建筑。</w:t>
      </w:r>
      <w:r>
        <w:rPr>
          <w:rFonts w:hint="eastAsia" w:ascii="仿宋" w:hAnsi="仿宋" w:eastAsia="仿宋"/>
          <w:sz w:val="32"/>
          <w:szCs w:val="32"/>
        </w:rPr>
        <w:t>推进装配式建筑与绿色建筑、节能建筑融合发展，鼓励国有投资项目、工业厂房、低层建筑采用装配式建造。根据我市实际，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大力推广钢结构建筑发展，推广钢结构在公共建筑、工业建筑、旅游度假村、低层住宅中的应用。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（四）加强技术支撑，推进可再生能源建筑规模化应用。</w:t>
      </w:r>
    </w:p>
    <w:p>
      <w:pPr>
        <w:spacing w:line="52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各区县应重视</w:t>
      </w:r>
      <w:r>
        <w:rPr>
          <w:rFonts w:ascii="仿宋" w:hAnsi="仿宋" w:eastAsia="仿宋" w:cs="Arial"/>
          <w:sz w:val="32"/>
          <w:szCs w:val="32"/>
        </w:rPr>
        <w:t>可再生能源建筑一体化应用</w:t>
      </w:r>
      <w:r>
        <w:rPr>
          <w:rFonts w:hint="eastAsia" w:ascii="仿宋" w:hAnsi="仿宋" w:eastAsia="仿宋" w:cs="Arial"/>
          <w:sz w:val="32"/>
          <w:szCs w:val="32"/>
        </w:rPr>
        <w:t>，</w:t>
      </w:r>
      <w:r>
        <w:rPr>
          <w:rFonts w:ascii="仿宋" w:hAnsi="仿宋" w:eastAsia="仿宋" w:cs="Arial"/>
          <w:sz w:val="32"/>
          <w:szCs w:val="32"/>
        </w:rPr>
        <w:t>新建建筑</w:t>
      </w:r>
      <w:r>
        <w:rPr>
          <w:rFonts w:hint="eastAsia" w:ascii="仿宋" w:hAnsi="仿宋" w:eastAsia="仿宋" w:cs="Arial"/>
          <w:sz w:val="32"/>
          <w:szCs w:val="32"/>
        </w:rPr>
        <w:t>应当</w:t>
      </w:r>
      <w:r>
        <w:rPr>
          <w:rFonts w:ascii="仿宋" w:hAnsi="仿宋" w:eastAsia="仿宋" w:cs="Arial"/>
          <w:sz w:val="32"/>
          <w:szCs w:val="32"/>
        </w:rPr>
        <w:t>根据工程实际</w:t>
      </w:r>
      <w:r>
        <w:rPr>
          <w:rFonts w:hint="eastAsia" w:ascii="仿宋" w:hAnsi="仿宋" w:eastAsia="仿宋" w:cs="Arial"/>
          <w:sz w:val="32"/>
          <w:szCs w:val="32"/>
        </w:rPr>
        <w:t>情况</w:t>
      </w:r>
      <w:r>
        <w:rPr>
          <w:rFonts w:ascii="仿宋" w:hAnsi="仿宋" w:eastAsia="仿宋" w:cs="Arial"/>
          <w:sz w:val="32"/>
          <w:szCs w:val="32"/>
        </w:rPr>
        <w:t>选择太阳能光伏、太阳能光热、浅层地源热泵等可再生能源建筑应用技术</w:t>
      </w:r>
      <w:r>
        <w:rPr>
          <w:rFonts w:hint="eastAsia" w:ascii="仿宋" w:hAnsi="仿宋" w:eastAsia="仿宋" w:cs="Arial"/>
          <w:sz w:val="32"/>
          <w:szCs w:val="32"/>
        </w:rPr>
        <w:t>，并与主体同步设计、同步施工、同步验收。建筑面积在1万平方米以上的公共建筑，应当利用不少于1种可再生能源。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建设单位在组织工程竣工验收时，应包括可再生能源工程质量安全和使用效果等内容。各区县住建局应在设计审查备案、质量监督、竣工验收备案等环节上加强对可再生能源在建筑中应用的监督、管理和协调。全</w:t>
      </w:r>
      <w:r>
        <w:rPr>
          <w:rFonts w:hint="eastAsia" w:ascii="仿宋" w:hAnsi="仿宋" w:eastAsia="仿宋"/>
          <w:kern w:val="0"/>
          <w:sz w:val="32"/>
          <w:szCs w:val="32"/>
        </w:rPr>
        <w:t>年开展1次可再生能源建筑一体化应用专项检查。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（五）探索节能改造模式，推动既有建筑节能改造。</w:t>
      </w:r>
      <w:r>
        <w:rPr>
          <w:rFonts w:hint="eastAsia" w:ascii="仿宋" w:hAnsi="仿宋" w:eastAsia="仿宋"/>
          <w:sz w:val="32"/>
          <w:szCs w:val="32"/>
        </w:rPr>
        <w:t>结合“两治三改”专项行动，开展建筑外窗、外墙、屋面、照明和空调系统等更新改造，因地制宜推进我市既有建筑节能改造。</w:t>
      </w:r>
      <w:r>
        <w:rPr>
          <w:rFonts w:hint="eastAsia" w:ascii="仿宋" w:hAnsi="仿宋" w:eastAsia="仿宋"/>
          <w:kern w:val="0"/>
          <w:sz w:val="32"/>
          <w:szCs w:val="32"/>
        </w:rPr>
        <w:t>加强既有建筑节能改造设计、施工管理，拓宽既有建筑节能改造的实施路径。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（六）深入推进“三禁”，强化预拌混凝土（砂浆）绿色生产及质量行为监管。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扩大“三禁”覆盖面，建设工程禁止现场使用袋装水泥、禁止现场搅拌混凝土，市中心城区、各区县城区、开发区、工业园区建筑工程禁止现场搅拌砂浆。将新型墙体材料、预拌混凝土、预拌砂浆使用情况纳入竣工验收内容。开展“禁现”工作专项检查不少于1次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大力推进预拌混凝土（砂浆）搅拌站绿色标准化建设，加强预拌混凝土（砂浆）生产及使用质量监管，加大监督执法力度,开展1-2次预拌混凝土（砂浆）环境和质量专项检查。推进互联网+制造，推动企业“两化融合”管理体系建设。  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（七）推广新型墙材及绿色建材，促进建材行业供给侧改革。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做好全市新型墙体材料的认定受理工作，加强对认定产品企业的监督检查，确保认定产品质量，全年对认证产品企业专项检查不少于2次。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引导企业申报绿色建材星级评价标识，在新型墙材、预拌混凝土(砂浆)企业开展标识评价工作。引导建设项目优先使用获得评价标识的绿色建材。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（八）抓好事中监管，加大建筑节能材料产品市场监管力度。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根据省住房建设厅《关于进一步加强建筑工程外墙保温系统建设监管工作的通知》要求，强化建设单位首要责任和勘察、设计、施工单位主体责任，保温系统施工采取材料供应与施工一体化方式，杜绝非法转包。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加大施工过程中抽查检查力度，采取委托第三方检测的方式，每季度组织一次抽查，委托检测机构对节能材料、加气块、水泥砖等进行抽检，把不合格产品清除市场。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加强信息公开，对备案的材料产品和新型墙材企业公开信息，杜绝无证企业产品进入建筑工程。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组织开展全市建筑节能、绿色建筑和新型墙材专项检查督查，强化标准执行力度。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发布我市建设领域推广应用、限制和禁止使用技术公告，鼓励建设领域新技术、新工艺、新材料、新设备推广应用。</w:t>
      </w:r>
    </w:p>
    <w:p>
      <w:pPr>
        <w:tabs>
          <w:tab w:val="left" w:pos="7513"/>
        </w:tabs>
        <w:spacing w:line="520" w:lineRule="exact"/>
        <w:ind w:firstLine="643" w:firstLineChars="200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三、工作要求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（一）强化目标责任。坚持目标导向，明确工作任务，压实工作责任。针对省、市下达的建筑节能相关工作目标任务制定具体的工作计划、措施，明确各项工作的责任人及完成时限。</w:t>
      </w:r>
    </w:p>
    <w:p>
      <w:pPr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（二）加强监督检查。加强过程监督检查，落实月报、季通报、年度考核等制度，掌握目标任务推进情况。明确专人负责建筑节能相关业务工作的统计报送，按时、按质、按量填报各类工作报表。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注重宣贯培训。通过培训班、研讨会、现场观摩等形式，加强对国家、省、市建筑节能工作要求的学习，组织设计、图审、施工、监理、质检等相关人员开展专业技术培训。组织开展好“节能宣传周”活动，形成良好的社会氛围。</w:t>
      </w:r>
    </w:p>
    <w:p>
      <w:pPr>
        <w:tabs>
          <w:tab w:val="left" w:pos="7513"/>
        </w:tabs>
        <w:spacing w:line="470" w:lineRule="exact"/>
        <w:rPr>
          <w:rFonts w:ascii="仿宋" w:hAnsi="仿宋" w:eastAsia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AA"/>
    <w:rsid w:val="000903E2"/>
    <w:rsid w:val="000939BC"/>
    <w:rsid w:val="00093E9A"/>
    <w:rsid w:val="0014080E"/>
    <w:rsid w:val="001A55ED"/>
    <w:rsid w:val="001A5755"/>
    <w:rsid w:val="001A7BFA"/>
    <w:rsid w:val="001E63B2"/>
    <w:rsid w:val="002511E3"/>
    <w:rsid w:val="00264EE5"/>
    <w:rsid w:val="002905A4"/>
    <w:rsid w:val="002945C6"/>
    <w:rsid w:val="003206D8"/>
    <w:rsid w:val="00372206"/>
    <w:rsid w:val="00397430"/>
    <w:rsid w:val="003B584A"/>
    <w:rsid w:val="004871A6"/>
    <w:rsid w:val="004A1014"/>
    <w:rsid w:val="004D362D"/>
    <w:rsid w:val="004F6C67"/>
    <w:rsid w:val="005812DC"/>
    <w:rsid w:val="005D203F"/>
    <w:rsid w:val="00630FC6"/>
    <w:rsid w:val="00661E16"/>
    <w:rsid w:val="00685EAA"/>
    <w:rsid w:val="00770636"/>
    <w:rsid w:val="007B7AE7"/>
    <w:rsid w:val="00835A16"/>
    <w:rsid w:val="008454D2"/>
    <w:rsid w:val="008A1771"/>
    <w:rsid w:val="009560DA"/>
    <w:rsid w:val="00970C55"/>
    <w:rsid w:val="009D5B55"/>
    <w:rsid w:val="00AC171D"/>
    <w:rsid w:val="00BA739B"/>
    <w:rsid w:val="00BE3C60"/>
    <w:rsid w:val="00C5248D"/>
    <w:rsid w:val="00CD2FEC"/>
    <w:rsid w:val="00E7098C"/>
    <w:rsid w:val="00EB6C8A"/>
    <w:rsid w:val="00EC1646"/>
    <w:rsid w:val="00ED23C2"/>
    <w:rsid w:val="00ED72B0"/>
    <w:rsid w:val="00EF1691"/>
    <w:rsid w:val="00FC5AB8"/>
    <w:rsid w:val="00FE13BF"/>
    <w:rsid w:val="4AF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3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3C66C-D1BC-47C2-BBC6-B91DAB0BF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448</Words>
  <Characters>2556</Characters>
  <Lines>21</Lines>
  <Paragraphs>5</Paragraphs>
  <TotalTime>265</TotalTime>
  <ScaleCrop>false</ScaleCrop>
  <LinksUpToDate>false</LinksUpToDate>
  <CharactersWithSpaces>2999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2019-03-05T07:53:00Z</dcterms:created>
  <dc:creator>AutoBVT</dc:creator>
  <cp:lastModifiedBy>黄山精强建材股份有限公司-程楷</cp:lastModifiedBy>
  <cp:lastPrinted>2019-04-09T07:18:00Z</cp:lastPrinted>
  <dcterms:modified xsi:type="dcterms:W3CDTF">2019-04-10T01:05:02Z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