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家税务总局关于进一步明确营改增有关征管问题的公告</w:t>
      </w:r>
    </w:p>
    <w:p>
      <w:pPr>
        <w:rPr>
          <w:rFonts w:hint="eastAsia"/>
        </w:rPr>
      </w:pPr>
      <w:r>
        <w:rPr>
          <w:rFonts w:hint="eastAsia"/>
        </w:rPr>
        <w:t xml:space="preserve"> </w:t>
      </w:r>
    </w:p>
    <w:p>
      <w:pPr>
        <w:rPr>
          <w:rFonts w:hint="eastAsia"/>
        </w:rPr>
      </w:pPr>
      <w:bookmarkStart w:id="0" w:name="_GoBack"/>
      <w:r>
        <w:rPr>
          <w:rFonts w:hint="eastAsia"/>
        </w:rPr>
        <w:t>国家税务总局公告2017年第11号</w:t>
      </w:r>
      <w:bookmarkEnd w:id="0"/>
      <w:r>
        <w:rPr>
          <w:rFonts w:hint="eastAsia"/>
        </w:rPr>
        <w:t xml:space="preserve">   发文日期： 2017年04月20日 【部分失效】 【主动公开】 </w:t>
      </w:r>
    </w:p>
    <w:p>
      <w:pPr>
        <w:rPr>
          <w:rFonts w:hint="eastAsia"/>
        </w:rPr>
      </w:pPr>
    </w:p>
    <w:p>
      <w:pPr>
        <w:rPr>
          <w:rFonts w:hint="eastAsia"/>
        </w:rPr>
      </w:pPr>
    </w:p>
    <w:p>
      <w:pPr>
        <w:rPr>
          <w:rFonts w:hint="eastAsia"/>
        </w:rPr>
      </w:pPr>
    </w:p>
    <w:p>
      <w:pPr>
        <w:rPr>
          <w:rFonts w:hint="eastAsia"/>
        </w:rPr>
      </w:pPr>
      <w:r>
        <w:rPr>
          <w:rFonts w:hint="eastAsia"/>
        </w:rPr>
        <w:t xml:space="preserve">失效时间：2018年07月25日 </w:t>
      </w:r>
    </w:p>
    <w:p>
      <w:pPr>
        <w:rPr>
          <w:rFonts w:hint="eastAsia"/>
        </w:rPr>
      </w:pPr>
      <w:r>
        <w:rPr>
          <w:rFonts w:hint="eastAsia"/>
        </w:rPr>
        <w:t xml:space="preserve">失效原因：根据《国家税务总局关于明确中外合作办学等若干增值税征管问题的公告》（国家税务总局公告2018年第42号）规定，《国家税务总局关于进一步明确营改增有关征管问题的公告》（国家税务总局公告2017年第11号）第四条同时废止。根据《国家税务总局关于扩大小规模纳税人自行开具增值税专用发票试点范围等事项的公告》（国家税务总局公告2019年第8号）规定，自2019年3月1日起本文第九条废止。根据《国家税务总局关于取消增值税扣税凭证认证确认期限等增值税征管问题的公告》（国家税务总局公告2019年第45号）规定，自2020年3月1日起，本文第十条废止。 </w:t>
      </w:r>
    </w:p>
    <w:p>
      <w:pPr>
        <w:rPr>
          <w:rFonts w:hint="eastAsia"/>
        </w:rPr>
      </w:pPr>
      <w:r>
        <w:rPr>
          <w:rFonts w:hint="eastAsia"/>
        </w:rPr>
        <w:t>　　根据《国家税务总局关于修改部分税收规范性文件的公告》（国家税务总局公告2018年第31号）修改</w:t>
      </w:r>
    </w:p>
    <w:p>
      <w:pPr>
        <w:rPr>
          <w:rFonts w:hint="eastAsia"/>
        </w:rPr>
      </w:pPr>
    </w:p>
    <w:p>
      <w:pPr>
        <w:rPr>
          <w:rFonts w:hint="eastAsia"/>
        </w:rPr>
      </w:pPr>
      <w:r>
        <w:rPr>
          <w:rFonts w:hint="eastAsia"/>
        </w:rPr>
        <w:t xml:space="preserve">    为进一步明确营改增试点运行中反映的有关征管问题，现将有关事项公告如下：</w:t>
      </w:r>
    </w:p>
    <w:p>
      <w:pPr>
        <w:rPr>
          <w:rFonts w:hint="eastAsia"/>
        </w:rPr>
      </w:pPr>
      <w:r>
        <w:rPr>
          <w:rFonts w:hint="eastAsia"/>
        </w:rPr>
        <w:t>　　一、纳税人销售活动板房、机器设备、钢结构件等自产货物的同时提供建筑、安装服务，不属于《营业税改征增值税试点实施办法》(财税〔2016〕36号文件印发)第四十条规定的混合销售，应分别核算货物和建筑服务的销售额，分别适用不同的税率或者征收率。</w:t>
      </w:r>
    </w:p>
    <w:p>
      <w:pPr>
        <w:rPr>
          <w:rFonts w:hint="eastAsia"/>
        </w:rPr>
      </w:pPr>
      <w:r>
        <w:rPr>
          <w:rFonts w:hint="eastAsia"/>
        </w:rPr>
        <w:t>　　二、建筑企业与发包方签订建筑合同后，以内部授权或者三方协议等方式，授权集团内其他纳税人(以下称“第三方”)为发包方提供建筑服务，并由第三方直接与发包方结算工程款的，由第三方缴纳增值税并向发包方开具增值税发票，与发包方签订建筑合同的建筑企业不缴纳增值税。发包方可凭实际提供建筑服务的纳税人开具的增值税专用发票抵扣进项税额。</w:t>
      </w:r>
    </w:p>
    <w:p>
      <w:pPr>
        <w:rPr>
          <w:rFonts w:hint="eastAsia"/>
        </w:rPr>
      </w:pPr>
      <w:r>
        <w:rPr>
          <w:rFonts w:hint="eastAsia"/>
        </w:rPr>
        <w:t>　　三、纳税人在同一地级行政区范围内跨县(市、区)提供建筑服务，不适用《纳税人跨县(市、区)提供建筑服务增值税征收管理暂行办法》(国家税务总局公告2016年第17号印发)。</w:t>
      </w:r>
    </w:p>
    <w:p>
      <w:pPr>
        <w:rPr>
          <w:rFonts w:hint="eastAsia"/>
        </w:rPr>
      </w:pPr>
      <w:r>
        <w:rPr>
          <w:rFonts w:hint="eastAsia"/>
        </w:rPr>
        <w:t>　　四、一般纳税人销售电梯的同时提供安装服务，其安装服务可以按照甲供工程选择适用简易计税方法计税。</w:t>
      </w:r>
    </w:p>
    <w:p>
      <w:pPr>
        <w:rPr>
          <w:rFonts w:hint="eastAsia"/>
        </w:rPr>
      </w:pPr>
      <w:r>
        <w:rPr>
          <w:rFonts w:hint="eastAsia"/>
        </w:rPr>
        <w:t>　　纳税人对安装运行后的电梯提供的维护保养服务，按照“其他现代服务”缴纳增值税。</w:t>
      </w:r>
    </w:p>
    <w:p>
      <w:pPr>
        <w:rPr>
          <w:rFonts w:hint="eastAsia"/>
        </w:rPr>
      </w:pPr>
      <w:r>
        <w:rPr>
          <w:rFonts w:hint="eastAsia"/>
        </w:rPr>
        <w:t>　　五、纳税人提供植物养护服务，按照“其他生活服务”缴纳增值税。</w:t>
      </w:r>
    </w:p>
    <w:p>
      <w:pPr>
        <w:rPr>
          <w:rFonts w:hint="eastAsia"/>
        </w:rPr>
      </w:pPr>
      <w:r>
        <w:rPr>
          <w:rFonts w:hint="eastAsia"/>
        </w:rPr>
        <w:t>　　六、发卡机构、清算机构和收单机构提供银行卡跨机构资金清算服务，按照以下规定执行：</w:t>
      </w:r>
    </w:p>
    <w:p>
      <w:pPr>
        <w:rPr>
          <w:rFonts w:hint="eastAsia"/>
        </w:rPr>
      </w:pPr>
      <w:r>
        <w:rPr>
          <w:rFonts w:hint="eastAsia"/>
        </w:rPr>
        <w:t>　　(一)发卡机构以其向收单机构收取的发卡行服务费为销售额，并按照此销售额向清算机构开具增值税发票。</w:t>
      </w:r>
    </w:p>
    <w:p>
      <w:pPr>
        <w:rPr>
          <w:rFonts w:hint="eastAsia"/>
        </w:rPr>
      </w:pPr>
      <w:r>
        <w:rPr>
          <w:rFonts w:hint="eastAsia"/>
        </w:rPr>
        <w:t>　　(二)清算机构以其向发卡机构、收单机构收取的网络服务费为销售额，并按照发卡机构支付的网络服务费向发卡机构开具增值税发票，按照收单机构支付的网络服务费向收单机构开具增值税发票。</w:t>
      </w:r>
    </w:p>
    <w:p>
      <w:pPr>
        <w:rPr>
          <w:rFonts w:hint="eastAsia"/>
        </w:rPr>
      </w:pPr>
      <w:r>
        <w:rPr>
          <w:rFonts w:hint="eastAsia"/>
        </w:rPr>
        <w:t>　　清算机构从发卡机构取得的增值税发票上记载的发卡行服务费，一并计入清算机构的销售额，并由清算机构按照此销售额向收单机构开具增值税发票。</w:t>
      </w:r>
    </w:p>
    <w:p>
      <w:pPr>
        <w:rPr>
          <w:rFonts w:hint="eastAsia"/>
        </w:rPr>
      </w:pPr>
      <w:r>
        <w:rPr>
          <w:rFonts w:hint="eastAsia"/>
        </w:rPr>
        <w:t>　　(三)收单机构以其向商户收取的收单服务费为销售额，并按照此销售额向商户开具增值税发票。</w:t>
      </w:r>
    </w:p>
    <w:p>
      <w:pPr>
        <w:rPr>
          <w:rFonts w:hint="eastAsia"/>
        </w:rPr>
      </w:pPr>
      <w:r>
        <w:rPr>
          <w:rFonts w:hint="eastAsia"/>
        </w:rPr>
        <w:t>　　七、纳税人2016年5月1日前发生的营业税涉税业务，需要补开发票的，可于2017年12月31日前开具增值税普通发票(税务总局另有规定的除外)。</w:t>
      </w:r>
    </w:p>
    <w:p>
      <w:pPr>
        <w:rPr>
          <w:rFonts w:hint="eastAsia"/>
        </w:rPr>
      </w:pPr>
      <w:r>
        <w:rPr>
          <w:rFonts w:hint="eastAsia"/>
        </w:rPr>
        <w:t>　　八、实行实名办税的地区，已由税务机关现场采集法定代表人(业主、负责人)实名信息的纳税人，申请增值税专用发票最高开票限额不超过十万元的，主管税务机关应自受理申请之日起2个工作日内办结，有条件的主管税务机关即时办结。即时办结的，直接出具和送达《准予税务行政许可决定书》，不再出具《税务行政许可受理通知书》。</w:t>
      </w:r>
    </w:p>
    <w:p>
      <w:pPr>
        <w:rPr>
          <w:rFonts w:hint="eastAsia"/>
        </w:rPr>
      </w:pPr>
      <w:r>
        <w:rPr>
          <w:rFonts w:hint="eastAsia"/>
        </w:rPr>
        <w:t xml:space="preserve">    九、自2017年6月1日起，将建筑业纳入增值税小规模纳税人自行开具增值税专用发票试点范围。月销售额超过3万元(或季销售额超过9万元)的建筑业增值税小规模纳税人(以下称“自开发票试点纳税人”)提供建筑服务、销售货物或发生其他增值税应税行为，需要开具增值税专用发票的，通过增值税发票管理新系统自行开具。</w:t>
      </w:r>
    </w:p>
    <w:p>
      <w:pPr>
        <w:rPr>
          <w:rFonts w:hint="eastAsia"/>
        </w:rPr>
      </w:pPr>
      <w:r>
        <w:rPr>
          <w:rFonts w:hint="eastAsia"/>
        </w:rPr>
        <w:t>　　自开发票试点纳税人销售其取得的不动产，需要开具增值税专用发票的，仍须向税务机关申请代开。</w:t>
      </w:r>
    </w:p>
    <w:p>
      <w:pPr>
        <w:rPr>
          <w:rFonts w:hint="eastAsia"/>
        </w:rPr>
      </w:pPr>
      <w:r>
        <w:rPr>
          <w:rFonts w:hint="eastAsia"/>
        </w:rPr>
        <w:t>　　自开发票试点纳税人所开具的增值税专用发票应缴纳的税款，应在规定的纳税申报期内，向主管税务机关申报纳税。在填写增值税纳税申报表时，应将当期开具增值税专用发票的销售额，按照3%和5%的征收率，分别填写在《增值税纳税申报表》(小规模纳税人适用)第2栏和第5栏“税务机关代开的增值税专用发票不含税销售额”的“本期数”相应栏次中。</w:t>
      </w:r>
    </w:p>
    <w:p>
      <w:pPr>
        <w:rPr>
          <w:rFonts w:hint="eastAsia"/>
        </w:rPr>
      </w:pPr>
      <w:r>
        <w:rPr>
          <w:rFonts w:hint="eastAsia"/>
        </w:rPr>
        <w:t xml:space="preserve">    十、自2017年7月1日起，增值税一般纳税人取得的2017年7月1日及以后开具的增值税专用发票和机动车销售统一发票，应自开具之日起360日内认证或登录增值税发票选择确认平台进行确认，并在规定的纳税申报期内，向主管税务机关申报抵扣进项税额。</w:t>
      </w:r>
    </w:p>
    <w:p>
      <w:pPr>
        <w:rPr>
          <w:rFonts w:hint="eastAsia"/>
        </w:rPr>
      </w:pPr>
      <w:r>
        <w:rPr>
          <w:rFonts w:hint="eastAsia"/>
        </w:rPr>
        <w:t>　　增值税一般纳税人取得的2017年7月1日及以后开具的海关进口增值税专用缴款书，应自开具之日起360日内向主管税务机关报送《海关完税凭证抵扣清单》，申请稽核比对。</w:t>
      </w:r>
    </w:p>
    <w:p>
      <w:pPr>
        <w:rPr>
          <w:rFonts w:hint="eastAsia"/>
        </w:rPr>
      </w:pPr>
      <w:r>
        <w:rPr>
          <w:rFonts w:hint="eastAsia"/>
        </w:rPr>
        <w:t>　　纳税人取得的2017年6月30日前开具的增值税扣税凭证，仍按《国家税务总局关于调整增值税扣税凭证抵扣期限有关问题的通知》(国税函〔2009〕617号)执行。</w:t>
      </w:r>
    </w:p>
    <w:p>
      <w:pPr>
        <w:rPr>
          <w:rFonts w:hint="eastAsia"/>
        </w:rPr>
      </w:pPr>
      <w:r>
        <w:rPr>
          <w:rFonts w:hint="eastAsia"/>
        </w:rPr>
        <w:t>　　除本公告第九条和第十条以外，其他条款自2017年5月1日起施行。此前已发生未处理的事项，按照本公告规定执行。</w:t>
      </w:r>
    </w:p>
    <w:p>
      <w:pPr>
        <w:rPr>
          <w:rFonts w:hint="eastAsia"/>
        </w:rPr>
      </w:pPr>
      <w:r>
        <w:rPr>
          <w:rFonts w:hint="eastAsia"/>
        </w:rPr>
        <w:t>　　特此公告。</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5123218"/>
    <w:rsid w:val="08820C8C"/>
    <w:rsid w:val="1AA40A9C"/>
    <w:rsid w:val="1E130EF9"/>
    <w:rsid w:val="25BC3C38"/>
    <w:rsid w:val="26BD38E4"/>
    <w:rsid w:val="2E540571"/>
    <w:rsid w:val="356F0BB5"/>
    <w:rsid w:val="36FA66A4"/>
    <w:rsid w:val="49867196"/>
    <w:rsid w:val="53BD0258"/>
    <w:rsid w:val="543B0588"/>
    <w:rsid w:val="63416F01"/>
    <w:rsid w:val="67DF5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9</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2021-09-23T05:09:54Z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