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lang w:eastAsia="zh-CN"/>
        </w:rPr>
        <w:t>国</w:t>
      </w:r>
      <w:bookmarkStart w:id="0" w:name="_GoBack"/>
      <w:bookmarkEnd w:id="0"/>
      <w:r>
        <w:rPr>
          <w:rFonts w:hint="eastAsia"/>
        </w:rPr>
        <w:t>家税务总局关于明确中外合作办学等若干增值税征管问题的公告</w:t>
      </w:r>
    </w:p>
    <w:p>
      <w:pPr>
        <w:rPr>
          <w:rFonts w:hint="eastAsia"/>
        </w:rPr>
      </w:pPr>
      <w:r>
        <w:rPr>
          <w:rFonts w:hint="eastAsia"/>
        </w:rPr>
        <w:t xml:space="preserve"> </w:t>
      </w:r>
    </w:p>
    <w:p>
      <w:pPr>
        <w:rPr>
          <w:rFonts w:hint="eastAsia"/>
        </w:rPr>
      </w:pPr>
      <w:r>
        <w:rPr>
          <w:rFonts w:hint="eastAsia"/>
        </w:rPr>
        <w:t xml:space="preserve">国家税务总局公告2018年第42号   发文日期： 2018年07月25日 【全文有效】 【主动公开】 </w:t>
      </w:r>
    </w:p>
    <w:p>
      <w:pPr>
        <w:rPr>
          <w:rFonts w:hint="eastAsia"/>
        </w:rPr>
      </w:pPr>
      <w:r>
        <w:rPr>
          <w:rFonts w:hint="eastAsia"/>
        </w:rPr>
        <w:t xml:space="preserve">   </w:t>
      </w:r>
    </w:p>
    <w:p>
      <w:pPr>
        <w:rPr>
          <w:rFonts w:hint="eastAsia"/>
        </w:rPr>
      </w:pPr>
    </w:p>
    <w:p>
      <w:pPr>
        <w:rPr>
          <w:rFonts w:hint="eastAsia"/>
        </w:rPr>
      </w:pPr>
    </w:p>
    <w:p>
      <w:pPr>
        <w:rPr>
          <w:rFonts w:hint="eastAsia"/>
        </w:rPr>
      </w:pPr>
      <w:r>
        <w:rPr>
          <w:rFonts w:hint="eastAsia"/>
        </w:rPr>
        <w:t>　　现将中外合作办学等增值税征管问题公告如下：</w:t>
      </w:r>
    </w:p>
    <w:p>
      <w:pPr>
        <w:rPr>
          <w:rFonts w:hint="eastAsia"/>
        </w:rPr>
      </w:pPr>
      <w:r>
        <w:rPr>
          <w:rFonts w:hint="eastAsia"/>
        </w:rPr>
        <w:t>　　一、境外教育机构与境内从事学历教育的学校开展中外合作办学，提供学历教育服务取得的收入免征增值税。中外合作办学，是指中外教育机构按照《中华人民共和国中外合作办学条例》(国务院令第372号)的有关规定，合作举办的以中国公民为主要招生对象的教育教学活动。上述“学历教育”“从事学历教育的学校”“提供学历教育服务取得的收入”的范围，按照《营业税改征增值税试点过渡政策的规定》(财税〔2016〕36号文件附件3)第一条第(八)项的有关规定执行。</w:t>
      </w:r>
    </w:p>
    <w:p>
      <w:pPr>
        <w:rPr>
          <w:rFonts w:hint="eastAsia"/>
        </w:rPr>
      </w:pPr>
      <w:r>
        <w:rPr>
          <w:rFonts w:hint="eastAsia"/>
        </w:rPr>
        <w:t>　　二、航空运输销售代理企业提供境内机票代理服务，以取得的全部价款和价外费用，扣除向客户收取并支付给航空运输企业或其他航空运输销售代理企业的境内机票净结算款和相关费用后的余额为销售额。其中，支付给航空运输企业的款项，以国际航空运输协会(IATA)开账与结算计划(BSP)对账单或航空运输企业的签收单据为合法有效凭证;支付给其他航空运输销售代理企业的款项，以代理企业间的签收单据为合法有效凭证。航空运输销售代理企业就取得的全部价款和价外费用，向购买方开具行程单，或开具增值税普通发票。</w:t>
      </w:r>
    </w:p>
    <w:p>
      <w:pPr>
        <w:rPr>
          <w:rFonts w:hint="eastAsia"/>
        </w:rPr>
      </w:pPr>
      <w:r>
        <w:rPr>
          <w:rFonts w:hint="eastAsia"/>
        </w:rPr>
        <w:t>　　三、纳税人通过省级土地行政主管部门设立的交易平台转让补充耕地指标，按照销售无形资产缴纳增值税，税率为6%。本公告所称补充耕地指标，是指根据《中华人民共和国土地管理法》及国务院土地行政主管部门《耕地占补平衡考核办法》的有关要求，经省级土地行政主管部门确认，用于耕地占补平衡的指标。</w:t>
      </w:r>
    </w:p>
    <w:p>
      <w:pPr>
        <w:rPr>
          <w:rFonts w:hint="eastAsia"/>
        </w:rPr>
      </w:pPr>
      <w:r>
        <w:rPr>
          <w:rFonts w:hint="eastAsia"/>
        </w:rPr>
        <w:t>　　四、上市公司因实施重大资产重组形成的限售股，以及股票复牌首日至解禁日期间由上述股份孳生的送、转股，因重大资产重组停牌的，按照《国家税务总局关于营改增试点若干征管问题的公告》(国家税务总局公告2016年第53号)第五条第(三)项的规定确定买入价;在重大资产重组前已经暂停上市的，以上市公司完成资产重组后股票恢复上市首日的开盘价为买入价。</w:t>
      </w:r>
    </w:p>
    <w:p>
      <w:pPr>
        <w:rPr>
          <w:rFonts w:hint="eastAsia"/>
        </w:rPr>
      </w:pPr>
      <w:r>
        <w:rPr>
          <w:rFonts w:hint="eastAsia"/>
        </w:rPr>
        <w:t>　　五、拍卖行受托拍卖取得的手续费或佣金收入，按照“经纪代理服务”缴纳增值税。《国家税务总局关于拍卖行取得的拍卖收入征收增值税、营业税有关问题的通知》(国税发〔1999〕40号)停止执行。</w:t>
      </w:r>
    </w:p>
    <w:p>
      <w:pPr>
        <w:rPr>
          <w:rFonts w:hint="eastAsia"/>
        </w:rPr>
      </w:pPr>
      <w:r>
        <w:rPr>
          <w:rFonts w:hint="eastAsia"/>
        </w:rPr>
        <w:t>　　六、一般纳税人销售自产机器设备的同时提供安装服务，应分别核算机器设备和安装服务的销售额，安装服务可以按照甲供工程选择适用简易计税方法计税。</w:t>
      </w:r>
    </w:p>
    <w:p>
      <w:pPr>
        <w:rPr>
          <w:rFonts w:hint="eastAsia"/>
        </w:rPr>
      </w:pPr>
      <w:r>
        <w:rPr>
          <w:rFonts w:hint="eastAsia"/>
        </w:rPr>
        <w:t>　　一般纳税人销售外购机器设备的同时提供安装服务，如果已经按照兼营的有关规定，分别核算机器设备和安装服务的销售额，安装服务可以按照甲供工程选择适用简易计税方法计税。</w:t>
      </w:r>
    </w:p>
    <w:p>
      <w:pPr>
        <w:rPr>
          <w:rFonts w:hint="eastAsia"/>
        </w:rPr>
      </w:pPr>
      <w:r>
        <w:rPr>
          <w:rFonts w:hint="eastAsia"/>
        </w:rPr>
        <w:t>　　纳税人对安装运行后的机器设备提供的维护保养服务，按照“其他现代服务”缴纳增值税。</w:t>
      </w:r>
    </w:p>
    <w:p>
      <w:pPr>
        <w:rPr>
          <w:rFonts w:hint="eastAsia"/>
        </w:rPr>
      </w:pPr>
      <w:r>
        <w:rPr>
          <w:rFonts w:hint="eastAsia"/>
        </w:rPr>
        <w:t>　　七、纳税人2016年5月1日前发生的营业税涉税业务，包括已经申报缴纳营业税或补缴营业税的业务，需要补开发票的，可以开具增值税普通发票。纳税人应完整保留相关资料备查。</w:t>
      </w:r>
    </w:p>
    <w:p>
      <w:pPr>
        <w:rPr>
          <w:rFonts w:hint="eastAsia"/>
        </w:rPr>
      </w:pPr>
      <w:r>
        <w:rPr>
          <w:rFonts w:hint="eastAsia"/>
        </w:rPr>
        <w:t>　　本公告自发布之日起施行,《国家税务总局关于简并增值税征收率有关问题的公告》(国家税务总局公告2014年第36号)第二条和《国家税务总局关于进一步明确营改增有关征管问题的公告》(国家税务总局公告2017年第11号)第四条同时废止。此前已发生未处理的事项，按照本公告的规定执行。2016年5月1日前，纳税人发生本公告第四条规定的应税行为，已缴纳营业税的，不再调整，未缴纳营业税的，比照本公告规定缴纳营业税。</w:t>
      </w:r>
    </w:p>
    <w:p>
      <w:pPr>
        <w:rPr>
          <w:rFonts w:hint="eastAsia"/>
        </w:rPr>
      </w:pPr>
      <w:r>
        <w:rPr>
          <w:rFonts w:hint="eastAsia"/>
        </w:rPr>
        <w:t>　　特此公告。</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5123218"/>
    <w:rsid w:val="08820C8C"/>
    <w:rsid w:val="1AA40A9C"/>
    <w:rsid w:val="1E130EF9"/>
    <w:rsid w:val="25BC3C38"/>
    <w:rsid w:val="26BD38E4"/>
    <w:rsid w:val="2E540571"/>
    <w:rsid w:val="356F0BB5"/>
    <w:rsid w:val="36FA66A4"/>
    <w:rsid w:val="49867196"/>
    <w:rsid w:val="53BD0258"/>
    <w:rsid w:val="543B0588"/>
    <w:rsid w:val="63416F01"/>
    <w:rsid w:val="67DF568C"/>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10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2021-09-23T05:10:48Z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